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7</w:t>
      </w:r>
    </w:p>
    <w:p>
      <w:pPr>
        <w:pStyle w:val="Heading2"/>
      </w:pPr>
      <w:r>
        <w:t>21. Valutazione dei rischi specifici</w:t>
      </w:r>
    </w:p>
    <w:p>
      <w:r>
        <w:t>La seguente tabella costituisce una valutazione di base dei principali rischi connessi alle attività di consulenza presso sedi comunali. Potrà essere integrata in funzione delle caratteristiche dell'incarico.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Rischio</w:t>
            </w:r>
          </w:p>
        </w:tc>
        <w:tc>
          <w:tcPr>
            <w:tcW w:type="dxa" w:w="2160"/>
          </w:tcPr>
          <w:p>
            <w:r>
              <w:t>Possibili conseguenze</w:t>
            </w:r>
          </w:p>
        </w:tc>
        <w:tc>
          <w:tcPr>
            <w:tcW w:type="dxa" w:w="2160"/>
          </w:tcPr>
          <w:p>
            <w:r>
              <w:t>Misure di prevenzione</w:t>
            </w:r>
          </w:p>
        </w:tc>
        <w:tc>
          <w:tcPr>
            <w:tcW w:type="dxa" w:w="2160"/>
          </w:tcPr>
          <w:p>
            <w:r>
              <w:t>Livello</w:t>
            </w:r>
          </w:p>
        </w:tc>
      </w:tr>
      <w:tr>
        <w:tc>
          <w:tcPr>
            <w:tcW w:type="dxa" w:w="2160"/>
          </w:tcPr>
          <w:p>
            <w:r>
              <w:t>Scivolamenti e cadute</w:t>
            </w:r>
          </w:p>
        </w:tc>
        <w:tc>
          <w:tcPr>
            <w:tcW w:type="dxa" w:w="2160"/>
          </w:tcPr>
          <w:p>
            <w:r>
              <w:t>Contusioni, fratture</w:t>
            </w:r>
          </w:p>
        </w:tc>
        <w:tc>
          <w:tcPr>
            <w:tcW w:type="dxa" w:w="2160"/>
          </w:tcPr>
          <w:p>
            <w:r>
              <w:t>Percorsi sicuri, calzature idonee</w:t>
            </w:r>
          </w:p>
        </w:tc>
        <w:tc>
          <w:tcPr>
            <w:tcW w:type="dxa" w:w="2160"/>
          </w:tcPr>
          <w:p>
            <w:r>
              <w:t>Basso</w:t>
            </w:r>
          </w:p>
        </w:tc>
      </w:tr>
      <w:tr>
        <w:tc>
          <w:tcPr>
            <w:tcW w:type="dxa" w:w="2160"/>
          </w:tcPr>
          <w:p>
            <w:r>
              <w:t>Cadute da scale</w:t>
            </w:r>
          </w:p>
        </w:tc>
        <w:tc>
          <w:tcPr>
            <w:tcW w:type="dxa" w:w="2160"/>
          </w:tcPr>
          <w:p>
            <w:r>
              <w:t>Traumi</w:t>
            </w:r>
          </w:p>
        </w:tc>
        <w:tc>
          <w:tcPr>
            <w:tcW w:type="dxa" w:w="2160"/>
          </w:tcPr>
          <w:p>
            <w:r>
              <w:t>Uso corretto delle scale, attenzione</w:t>
            </w:r>
          </w:p>
        </w:tc>
        <w:tc>
          <w:tcPr>
            <w:tcW w:type="dxa" w:w="2160"/>
          </w:tcPr>
          <w:p>
            <w:r>
              <w:t>Medio</w:t>
            </w:r>
          </w:p>
        </w:tc>
      </w:tr>
      <w:tr>
        <w:tc>
          <w:tcPr>
            <w:tcW w:type="dxa" w:w="2160"/>
          </w:tcPr>
          <w:p>
            <w:r>
              <w:t>Rischio elettrico</w:t>
            </w:r>
          </w:p>
        </w:tc>
        <w:tc>
          <w:tcPr>
            <w:tcW w:type="dxa" w:w="2160"/>
          </w:tcPr>
          <w:p>
            <w:r>
              <w:t>Folgorazione</w:t>
            </w:r>
          </w:p>
        </w:tc>
        <w:tc>
          <w:tcPr>
            <w:tcW w:type="dxa" w:w="2160"/>
          </w:tcPr>
          <w:p>
            <w:r>
              <w:t>Solo ispezioni visive, nessun intervento su impianti</w:t>
            </w:r>
          </w:p>
        </w:tc>
        <w:tc>
          <w:tcPr>
            <w:tcW w:type="dxa" w:w="2160"/>
          </w:tcPr>
          <w:p>
            <w:r>
              <w:t>Basso</w:t>
            </w:r>
          </w:p>
        </w:tc>
      </w:tr>
      <w:tr>
        <w:tc>
          <w:tcPr>
            <w:tcW w:type="dxa" w:w="2160"/>
          </w:tcPr>
          <w:p>
            <w:r>
              <w:t>Movimentazione carichi</w:t>
            </w:r>
          </w:p>
        </w:tc>
        <w:tc>
          <w:tcPr>
            <w:tcW w:type="dxa" w:w="2160"/>
          </w:tcPr>
          <w:p>
            <w:r>
              <w:t>Affaticamento</w:t>
            </w:r>
          </w:p>
        </w:tc>
        <w:tc>
          <w:tcPr>
            <w:tcW w:type="dxa" w:w="2160"/>
          </w:tcPr>
          <w:p>
            <w:r>
              <w:t>Corretta movimentazione e limitazione dei pesi</w:t>
            </w:r>
          </w:p>
        </w:tc>
        <w:tc>
          <w:tcPr>
            <w:tcW w:type="dxa" w:w="2160"/>
          </w:tcPr>
          <w:p>
            <w:r>
              <w:t>Basso</w:t>
            </w:r>
          </w:p>
        </w:tc>
      </w:tr>
      <w:tr>
        <w:tc>
          <w:tcPr>
            <w:tcW w:type="dxa" w:w="2160"/>
          </w:tcPr>
          <w:p>
            <w:r>
              <w:t>Videoterminali</w:t>
            </w:r>
          </w:p>
        </w:tc>
        <w:tc>
          <w:tcPr>
            <w:tcW w:type="dxa" w:w="2160"/>
          </w:tcPr>
          <w:p>
            <w:r>
              <w:t>Affaticamento visivo</w:t>
            </w:r>
          </w:p>
        </w:tc>
        <w:tc>
          <w:tcPr>
            <w:tcW w:type="dxa" w:w="2160"/>
          </w:tcPr>
          <w:p>
            <w:r>
              <w:t>Pause e corretta postazione</w:t>
            </w:r>
          </w:p>
        </w:tc>
        <w:tc>
          <w:tcPr>
            <w:tcW w:type="dxa" w:w="2160"/>
          </w:tcPr>
          <w:p>
            <w:r>
              <w:t>Basso</w:t>
            </w:r>
          </w:p>
        </w:tc>
      </w:tr>
      <w:tr>
        <w:tc>
          <w:tcPr>
            <w:tcW w:type="dxa" w:w="2160"/>
          </w:tcPr>
          <w:p>
            <w:r>
              <w:t>Traffico veicolare</w:t>
            </w:r>
          </w:p>
        </w:tc>
        <w:tc>
          <w:tcPr>
            <w:tcW w:type="dxa" w:w="2160"/>
          </w:tcPr>
          <w:p>
            <w:r>
              <w:t>Investimento</w:t>
            </w:r>
          </w:p>
        </w:tc>
        <w:tc>
          <w:tcPr>
            <w:tcW w:type="dxa" w:w="2160"/>
          </w:tcPr>
          <w:p>
            <w:r>
              <w:t>Alta visibilità e attenzione</w:t>
            </w:r>
          </w:p>
        </w:tc>
        <w:tc>
          <w:tcPr>
            <w:tcW w:type="dxa" w:w="2160"/>
          </w:tcPr>
          <w:p>
            <w:r>
              <w:t>Medio</w:t>
            </w:r>
          </w:p>
        </w:tc>
      </w:tr>
      <w:tr>
        <w:tc>
          <w:tcPr>
            <w:tcW w:type="dxa" w:w="2160"/>
          </w:tcPr>
          <w:p>
            <w:r>
              <w:t>Interferenze</w:t>
            </w:r>
          </w:p>
        </w:tc>
        <w:tc>
          <w:tcPr>
            <w:tcW w:type="dxa" w:w="2160"/>
          </w:tcPr>
          <w:p>
            <w:r>
              <w:t>Urti, intralci</w:t>
            </w:r>
          </w:p>
        </w:tc>
        <w:tc>
          <w:tcPr>
            <w:tcW w:type="dxa" w:w="2160"/>
          </w:tcPr>
          <w:p>
            <w:r>
              <w:t>Coordinamento con il referente comunale</w:t>
            </w:r>
          </w:p>
        </w:tc>
        <w:tc>
          <w:tcPr>
            <w:tcW w:type="dxa" w:w="2160"/>
          </w:tcPr>
          <w:p>
            <w:r>
              <w:t>Basso</w:t>
            </w:r>
          </w:p>
        </w:tc>
      </w:tr>
    </w:tbl>
    <w:p>
      <w:pPr>
        <w:pStyle w:val="Heading2"/>
      </w:pPr>
      <w:r>
        <w:t>22. Rischi particolari da integrare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p>
      <w:r>
        <w:t>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